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8"/>
        </w:rPr>
        <w:t>成长赛道评审标准</w:t>
      </w:r>
    </w:p>
    <w:tbl>
      <w:tblPr>
        <w:tblStyle w:val="2"/>
        <w:tblW w:w="8193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6379"/>
        <w:gridCol w:w="4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tblHeader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1833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  <w:t>职业目标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职业目标体现积极正向的价值追求，能够将个人理想与国家需要、经济社会发展相结合；</w:t>
            </w:r>
          </w:p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职业目标匹配个人价值观、能力优势、兴趣特点；</w:t>
            </w:r>
          </w:p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1548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  <w:t>行动成果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成长行动符合目标职业在通用素质、就业能力、职业道德等方面的要求；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成长行动对弥补个人不足的针对性较强；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能够将专业知识应用于成长实践，提高通用素质和就业能力；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成长行动内容丰富，取得阶段性成果。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  <w:t>目标契合度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行动成果与职业目标的契合程度；</w:t>
            </w:r>
          </w:p>
          <w:p>
            <w:pPr>
              <w:pStyle w:val="5"/>
              <w:numPr>
                <w:ilvl w:val="0"/>
                <w:numId w:val="3"/>
              </w:numPr>
              <w:spacing w:line="276" w:lineRule="auto"/>
              <w:ind w:firstLineChars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总结成长行动中存在的不足和原因，对成长计划进行自我评估和动态调整。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pStyle w:val="4"/>
              <w:kinsoku w:val="0"/>
              <w:overflowPunct w:val="0"/>
              <w:snapToGrid w:val="0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21552"/>
    <w:multiLevelType w:val="multilevel"/>
    <w:tmpl w:val="05221552"/>
    <w:lvl w:ilvl="0" w:tentative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526EA5"/>
    <w:multiLevelType w:val="multilevel"/>
    <w:tmpl w:val="25526EA5"/>
    <w:lvl w:ilvl="0" w:tentative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862E1"/>
    <w:multiLevelType w:val="multilevel"/>
    <w:tmpl w:val="4AF862E1"/>
    <w:lvl w:ilvl="0" w:tentative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3836B"/>
    <w:rsid w:val="7FE38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Calibri" w:hAnsi="Calibri" w:eastAsia="等线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2023-11-15T21:21:00Z</dcterms:created>
  <dc:creator>能机大院</dc:creator>
  <cp:lastModifiedBy>能机大院</cp:lastModifiedBy>
  <dcterms:modified xsi:type="dcterms:W3CDTF">2023-11-15T21:22:09Z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BCE217334610AB4ED1C554654F4797E8_41</vt:lpwstr>
  </property>
</Properties>
</file>